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26C8" w14:textId="1387DB02" w:rsidR="00284637" w:rsidRDefault="00284637" w:rsidP="0028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Документы и сведения для </w:t>
      </w:r>
      <w:r w:rsidR="00475F6C">
        <w:rPr>
          <w:rFonts w:ascii="Times New Roman" w:hAnsi="Times New Roman" w:cs="Times New Roman"/>
          <w:b/>
          <w:bCs/>
          <w:sz w:val="30"/>
          <w:szCs w:val="30"/>
        </w:rPr>
        <w:t>предоставления</w:t>
      </w:r>
      <w:r>
        <w:rPr>
          <w:rFonts w:ascii="Times New Roman" w:hAnsi="Times New Roman" w:cs="Times New Roman"/>
          <w:b/>
          <w:bCs/>
          <w:sz w:val="30"/>
          <w:szCs w:val="30"/>
        </w:rPr>
        <w:t>, изменения лицензии</w:t>
      </w:r>
    </w:p>
    <w:p w14:paraId="3A93909C" w14:textId="77777777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4A1F953A" w14:textId="6643703E" w:rsidR="00284637" w:rsidRDefault="00284637" w:rsidP="00284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</w:t>
      </w:r>
      <w:r w:rsidR="00475F6C">
        <w:rPr>
          <w:rFonts w:ascii="Times New Roman" w:hAnsi="Times New Roman" w:cs="Times New Roman"/>
          <w:sz w:val="30"/>
          <w:szCs w:val="30"/>
        </w:rPr>
        <w:t xml:space="preserve"> необходимый</w:t>
      </w:r>
      <w:r>
        <w:rPr>
          <w:rFonts w:ascii="Times New Roman" w:hAnsi="Times New Roman" w:cs="Times New Roman"/>
          <w:sz w:val="30"/>
          <w:szCs w:val="30"/>
        </w:rPr>
        <w:t xml:space="preserve"> перечень документов и сведений для </w:t>
      </w:r>
      <w:r w:rsidR="00475F6C">
        <w:rPr>
          <w:rFonts w:ascii="Times New Roman" w:hAnsi="Times New Roman" w:cs="Times New Roman"/>
          <w:sz w:val="30"/>
          <w:szCs w:val="30"/>
        </w:rPr>
        <w:t>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и изменения лицензии определен </w:t>
      </w:r>
      <w:hyperlink r:id="rId7" w:history="1">
        <w:r w:rsidRPr="0028463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Положением</w:t>
        </w:r>
      </w:hyperlink>
      <w:r w:rsidRPr="0028463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утвержденным постановлением</w:t>
      </w:r>
      <w:r w:rsidR="00475F6C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27.02.2023</w:t>
      </w:r>
      <w:r>
        <w:rPr>
          <w:rFonts w:ascii="Times New Roman" w:hAnsi="Times New Roman" w:cs="Times New Roman"/>
          <w:sz w:val="30"/>
          <w:szCs w:val="30"/>
        </w:rPr>
        <w:t xml:space="preserve"> № 154 (далее – Положение № 154)</w:t>
      </w:r>
      <w:r w:rsidR="00CB74F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конкретизирован применительно к деятельности в сфере игорного бизнеса в постановлении МНС от 25.01.2022 № 2 «Об утверждении регламентов административных процедур» (далее – постановление № 2). </w:t>
      </w:r>
    </w:p>
    <w:p w14:paraId="6CF59772" w14:textId="187957F0" w:rsidR="00A33C22" w:rsidRPr="00A33C22" w:rsidRDefault="00A33C22" w:rsidP="00A3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 w:rsidRPr="00A33C22">
        <w:rPr>
          <w:rFonts w:ascii="Times New Roman" w:hAnsi="Times New Roman" w:cs="Times New Roman"/>
          <w:i/>
          <w:iCs/>
          <w:sz w:val="30"/>
          <w:szCs w:val="30"/>
        </w:rPr>
        <w:t xml:space="preserve">Справочно. </w:t>
      </w:r>
      <w:r w:rsidR="005A6582">
        <w:rPr>
          <w:rFonts w:ascii="Times New Roman" w:eastAsia="Calibri" w:hAnsi="Times New Roman" w:cs="Times New Roman"/>
          <w:i/>
          <w:iCs/>
          <w:sz w:val="30"/>
          <w:szCs w:val="30"/>
        </w:rPr>
        <w:t>Постановлением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Совета Министров Республики Беларусь от 24 сентября 2021 г. № 548 «Об административных процедурах, осуществляемых в отношении субъектов хозяйствования» (далее – постановление № 548)</w:t>
      </w:r>
      <w:r w:rsidR="005A658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утвержден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единый перечень административных процедур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, осуществляемых в отношении субъектов хозяйствования (далее – единый перечень).</w:t>
      </w:r>
    </w:p>
    <w:p w14:paraId="24BFD079" w14:textId="77777777" w:rsidR="00A33C22" w:rsidRPr="00A33C22" w:rsidRDefault="00A33C22" w:rsidP="00A3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В соответствии с подпунктами 14.7.1 и 14.7.2 пункта 14.7 единого перечня к числу административных процедур отнесены:</w:t>
      </w:r>
    </w:p>
    <w:p w14:paraId="6DAD86B3" w14:textId="765C6F6C" w:rsidR="00A33C22" w:rsidRPr="00A33C22" w:rsidRDefault="00A33C22" w:rsidP="00A33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получение </w:t>
      </w:r>
      <w:r w:rsidR="007D5F96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лицензии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на осуществление деятельности в сфере игорного бизнеса (подпункт 14.7.1 пункта 14.7</w:t>
      </w:r>
      <w:r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  <w:r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единого перечня);</w:t>
      </w:r>
    </w:p>
    <w:p w14:paraId="35156B94" w14:textId="518A47BA" w:rsidR="00A33C22" w:rsidRPr="00A33C22" w:rsidRDefault="007D5F96" w:rsidP="00A33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изменение лицензии на осуществление деятельности в сфере игорного бизнеса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(подпункт 14.7.2 пункта 14.7</w:t>
      </w:r>
      <w:r w:rsidR="00A33C22" w:rsidRPr="00A33C22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единого перечня);</w:t>
      </w:r>
    </w:p>
    <w:p w14:paraId="11CCCBA2" w14:textId="79877B03" w:rsidR="00A33C22" w:rsidRPr="00A33C22" w:rsidRDefault="005A6582" w:rsidP="00A33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В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ышеуказанные административные процедуры осуществляются в соответствии с их регламентами, которые утверждены постановлением</w:t>
      </w:r>
      <w:r w:rsid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№ 2.</w:t>
      </w:r>
      <w:r w:rsidR="00A33C22" w:rsidRPr="00A33C22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5A9565A3" w14:textId="35A5B5C1" w:rsidR="00D10984" w:rsidRDefault="008109EF" w:rsidP="0028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122BE3C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Документы и сведения для предоставления лицензии</w:t>
      </w:r>
    </w:p>
    <w:p w14:paraId="4CE8D70B" w14:textId="77777777" w:rsidR="00BE20D2" w:rsidRDefault="00BE20D2" w:rsidP="00BE2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B8E9345" w14:textId="77777777" w:rsidR="00BE20D2" w:rsidRDefault="00BE20D2" w:rsidP="00BE20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Заявление о предоставлении лицензии по форме, определенной в приложении 1 к Положению № 154. Дополнительно в соответствии с подпунктом 28.1 пункта 28 Положения о лицензировании в таком заявлении указываются:</w:t>
      </w:r>
    </w:p>
    <w:p w14:paraId="47B4827A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местах нахождения игорных заведений (на каждую услугу, составляющую лицензируемый вид деятельности);</w:t>
      </w:r>
    </w:p>
    <w:p w14:paraId="72FE55F0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полное наименование организации, проводившей сертификацию гостиницы или гостиничного комплекса, дату и номер сертификата соответствия гостиницы или гостиничного комплекса заявленной категории «три звезды» и выше (для содержания казино, зала игровых автоматов) , при намерении разместить игорное заведение в помещениях гостиниц и гостиничных комплексов категории «три звезды» и выше, </w:t>
      </w:r>
      <w:r>
        <w:rPr>
          <w:rFonts w:ascii="Times New Roman" w:hAnsi="Times New Roman" w:cs="Times New Roman"/>
          <w:sz w:val="30"/>
          <w:szCs w:val="30"/>
        </w:rPr>
        <w:lastRenderedPageBreak/>
        <w:t>имеющих общую площадь, включая служебную зону игорного заведения, для размещения зала игровых автоматов менее 100 кв. метров, а для размещения казино - менее 250 кв. метров).</w:t>
      </w:r>
    </w:p>
    <w:p w14:paraId="2233CD4D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2. Документ, подтверждающий уплату государственной пошлины.</w:t>
      </w:r>
    </w:p>
    <w:p w14:paraId="3857D937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Справочно. За предоставление лицензии взимается государственная пошлина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в размере 500 базовых величин </w:t>
      </w:r>
      <w:r w:rsidRPr="00284637">
        <w:rPr>
          <w:rFonts w:ascii="Times New Roman" w:hAnsi="Times New Roman" w:cs="Times New Roman"/>
          <w:i/>
          <w:iCs/>
          <w:sz w:val="30"/>
          <w:szCs w:val="30"/>
        </w:rPr>
        <w:t>(</w:t>
      </w:r>
      <w:hyperlink r:id="rId8" w:history="1">
        <w:r w:rsidRPr="00284637">
          <w:rPr>
            <w:rStyle w:val="a3"/>
            <w:rFonts w:ascii="Times New Roman" w:hAnsi="Times New Roman" w:cs="Times New Roman"/>
            <w:i/>
            <w:iCs/>
            <w:color w:val="auto"/>
            <w:sz w:val="30"/>
            <w:szCs w:val="30"/>
            <w:u w:val="none"/>
          </w:rPr>
          <w:t>пункт 67</w:t>
        </w:r>
      </w:hyperlink>
      <w:r>
        <w:rPr>
          <w:rFonts w:ascii="Times New Roman" w:hAnsi="Times New Roman" w:cs="Times New Roman"/>
          <w:i/>
          <w:iCs/>
          <w:sz w:val="30"/>
          <w:szCs w:val="30"/>
        </w:rPr>
        <w:t xml:space="preserve"> приложения 22 к Налоговому кодексу Республики Беларусь</w:t>
      </w:r>
      <w:r w:rsidRPr="00275136">
        <w:rPr>
          <w:rFonts w:ascii="Times New Roman" w:hAnsi="Times New Roman" w:cs="Times New Roman"/>
          <w:i/>
          <w:iCs/>
          <w:sz w:val="30"/>
          <w:szCs w:val="30"/>
        </w:rPr>
        <w:t xml:space="preserve"> (</w:t>
      </w:r>
      <w:r>
        <w:rPr>
          <w:rFonts w:ascii="Times New Roman" w:hAnsi="Times New Roman" w:cs="Times New Roman"/>
          <w:i/>
          <w:iCs/>
          <w:sz w:val="30"/>
          <w:szCs w:val="30"/>
        </w:rPr>
        <w:t>далее – НК).</w:t>
      </w:r>
    </w:p>
    <w:p w14:paraId="1D34EF72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 Копии учредительных или иных организационно-распорядительных документов юридического лица, определяющих статус обособленного подразделения этого юридического лица (при намерении осуществлять лицензируемый вид деятельности в обособленном подразделении).</w:t>
      </w:r>
    </w:p>
    <w:p w14:paraId="12D2A170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4. Копии документов, подтверждающих наличие у руководителя или заместителя руководителя соискателя лицензии трехлетнего стажа работы по лицензируемому виду деятельности в должности руководителя или заместителя руководителя юридического лица. Такими документами будут являться выписка из трудовой книжки либо копия трудовой книжки руководителя или заместителя руководителя соискателя лицензии.</w:t>
      </w:r>
    </w:p>
    <w:p w14:paraId="358801EE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5. Сведения о руководителе, заместителе (заместителях) руководителя, физическом лице, являющемся учредителем (участником) соискателя лицензии. Такие сведения предоставляются по форме, определенной в приложении к постановлению № 2,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отдельно в отношении руководителя, каждого из его заместителей, физического лица, являющегося учредителем (участником) соискателя лицензии.</w:t>
      </w:r>
    </w:p>
    <w:p w14:paraId="3DBEE2CD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6. Копии документов, подтверждающих наличие помещения, в котором будет осуществляться лицензируемый вид деятельности (в зависимости от основания). Такими документами будут являться договор аренды (субаренды), безвозмездного пользования (ссуды), акт приема-передачи помещения.</w:t>
      </w:r>
    </w:p>
    <w:p w14:paraId="5F0F960E" w14:textId="77777777" w:rsidR="00BE20D2" w:rsidRPr="00D10984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7. Согласие соответствующего местного исполнительного и распорядительного органа на размещение игорного заведения. Такое согласие должно </w:t>
      </w:r>
      <w:r>
        <w:rPr>
          <w:rFonts w:ascii="Times New Roman" w:hAnsi="Times New Roman" w:cs="Times New Roman"/>
          <w:sz w:val="30"/>
          <w:szCs w:val="30"/>
        </w:rPr>
        <w:t xml:space="preserve">содержать сведения о виде игорного заведения, адресе его места нахождения, а также соответствии помещения, в котором будет осуществляться лицензируемый вид деятельности, требованиям, предусмотренным в </w:t>
      </w:r>
      <w:hyperlink r:id="rId9" w:history="1">
        <w:r w:rsidRPr="00D109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пунктах 6</w:t>
        </w:r>
      </w:hyperlink>
      <w:r w:rsidRPr="00D10984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0" w:history="1">
        <w:r w:rsidRPr="00D109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7</w:t>
        </w:r>
      </w:hyperlink>
      <w:r w:rsidRPr="00D10984">
        <w:rPr>
          <w:rFonts w:ascii="Times New Roman" w:hAnsi="Times New Roman" w:cs="Times New Roman"/>
          <w:sz w:val="30"/>
          <w:szCs w:val="30"/>
        </w:rPr>
        <w:t xml:space="preserve"> Положения об осуществлении деятельности в сфере игорного бизнеса, утвержденного Указом Президента Республики Беларусь от </w:t>
      </w:r>
      <w:r>
        <w:rPr>
          <w:rFonts w:ascii="Times New Roman" w:hAnsi="Times New Roman" w:cs="Times New Roman"/>
          <w:sz w:val="30"/>
          <w:szCs w:val="30"/>
        </w:rPr>
        <w:t>06.06.2025</w:t>
      </w:r>
      <w:r w:rsidRPr="00D10984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226</w:t>
      </w:r>
      <w:r w:rsidRPr="00D10984">
        <w:rPr>
          <w:rFonts w:ascii="Times New Roman" w:hAnsi="Times New Roman" w:cs="Times New Roman"/>
          <w:sz w:val="30"/>
          <w:szCs w:val="30"/>
        </w:rPr>
        <w:t>.</w:t>
      </w:r>
    </w:p>
    <w:p w14:paraId="73FC9124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0984">
        <w:rPr>
          <w:rFonts w:ascii="Times New Roman" w:hAnsi="Times New Roman" w:cs="Times New Roman"/>
          <w:sz w:val="30"/>
          <w:szCs w:val="30"/>
        </w:rPr>
        <w:t>8. </w:t>
      </w:r>
      <w:r w:rsidRPr="00D10984">
        <w:rPr>
          <w:rFonts w:ascii="Times New Roman" w:eastAsia="Times New Roman" w:hAnsi="Times New Roman"/>
          <w:sz w:val="30"/>
          <w:szCs w:val="30"/>
          <w:lang w:eastAsia="ru-RU"/>
        </w:rPr>
        <w:t xml:space="preserve">Акт соответствующего территориального органа </w:t>
      </w:r>
      <w:r w:rsidRPr="00D10984">
        <w:rPr>
          <w:rFonts w:ascii="Times New Roman" w:eastAsia="Times New Roman" w:hAnsi="Times New Roman"/>
          <w:spacing w:val="-10"/>
          <w:sz w:val="30"/>
          <w:szCs w:val="30"/>
          <w:lang w:eastAsia="ru-RU"/>
        </w:rPr>
        <w:t>внутренних дел об обследовании</w:t>
      </w:r>
      <w:r w:rsidRPr="00D10984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помещения, в котором будет осуществляться лицензируемый вид деятельности</w:t>
      </w:r>
      <w:r w:rsidRPr="00D10984">
        <w:rPr>
          <w:rFonts w:ascii="Times New Roman" w:hAnsi="Times New Roman" w:cs="Times New Roman"/>
          <w:sz w:val="30"/>
          <w:szCs w:val="30"/>
        </w:rPr>
        <w:t xml:space="preserve">, свидетельствующий об отсутствии </w:t>
      </w:r>
      <w:r w:rsidRPr="00D10984">
        <w:rPr>
          <w:rFonts w:ascii="Times New Roman" w:hAnsi="Times New Roman" w:cs="Times New Roman"/>
          <w:sz w:val="30"/>
          <w:szCs w:val="30"/>
        </w:rPr>
        <w:lastRenderedPageBreak/>
        <w:t xml:space="preserve">препятствий для предоставления лицензии, по </w:t>
      </w:r>
      <w:hyperlink r:id="rId11" w:history="1">
        <w:r w:rsidRPr="00D109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форме</w:t>
        </w:r>
      </w:hyperlink>
      <w:r w:rsidRPr="00D10984">
        <w:rPr>
          <w:rFonts w:ascii="Times New Roman" w:hAnsi="Times New Roman" w:cs="Times New Roman"/>
          <w:sz w:val="30"/>
          <w:szCs w:val="30"/>
        </w:rPr>
        <w:t xml:space="preserve">, определенной приказом Министерства внутренних дел Республики </w:t>
      </w:r>
      <w:r>
        <w:rPr>
          <w:rFonts w:ascii="Times New Roman" w:hAnsi="Times New Roman" w:cs="Times New Roman"/>
          <w:sz w:val="30"/>
          <w:szCs w:val="30"/>
        </w:rPr>
        <w:t>Беларусь                              от 12.12.2025 № 362 «Об обследовании помещений».</w:t>
      </w:r>
    </w:p>
    <w:p w14:paraId="3B590E29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2810CF0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Документы и сведения для изменения лицензии</w:t>
      </w:r>
    </w:p>
    <w:p w14:paraId="0BDA4F6C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1259BDA" w14:textId="77777777" w:rsidR="00BE20D2" w:rsidRDefault="00BE20D2" w:rsidP="00BE20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Общие документы и сведения, предоставляемые при любом изменении лицензии (за исключением изменения наименования, места нахождения лицензиата, когда для изменения лицензии лицензиатом предоставляется только нижеуказанное заявление).</w:t>
      </w:r>
    </w:p>
    <w:p w14:paraId="2AD8EE30" w14:textId="77777777" w:rsidR="00BE20D2" w:rsidRDefault="00BE20D2" w:rsidP="00BE20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1.1. Заявление об изменении лицензии по форме, определенной в приложении 2 к Положению № 154. Дополнительно в соответствии с подпунктом 28.1 пункта 28 Положения № 154 в таком заявлении в зависимости от вносимого изменения указываются:</w:t>
      </w:r>
    </w:p>
    <w:p w14:paraId="5F3661CE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сведения о местах нахождения игорных заведений и (или) доменные имена сайтов на каждую услугу, составляющую лицензируемый вид деятельности до и после изменения лицензии;</w:t>
      </w:r>
    </w:p>
    <w:p w14:paraId="445308C8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полное наименование организации, проводившей сертификацию гостиницы или гостиничного комплекса, дату и номер сертификата соответствия гостиницы или гостиничного комплекса заявленной категории «три звезды» и выше (для содержания казино, зала игровых автоматов) , при намерении разместить игорное заведение в помещениях гостиниц и гостиничных комплексов категории «три звезды» и выше, имеющих общую площадь, включая служебную зону игорного заведения, для размещения зала игровых автоматов менее 100 кв. метров, а для размещения казино - менее 250 кв. метров);</w:t>
      </w:r>
    </w:p>
    <w:p w14:paraId="4084BE8B" w14:textId="77777777" w:rsidR="00BE20D2" w:rsidRDefault="00BE20D2" w:rsidP="00BE20D2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 включении составляющей лицензируемый вид деятельности услуги содержание виртуального игорного заведения, изменении доменного имени сайта (в том числе по каждому обособленному подразделению), переходе лицензии с указанием составляющей лицензируемый вид деятельности услуги содержание виртуального игорного заведения в связи с реорганизацией лицензиата:</w:t>
      </w:r>
    </w:p>
    <w:p w14:paraId="3F8EA4D3" w14:textId="77777777" w:rsidR="00BE20D2" w:rsidRPr="00275136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 </w:t>
      </w:r>
      <w:r w:rsidRPr="00275136">
        <w:rPr>
          <w:rFonts w:ascii="Times New Roman" w:eastAsia="Times New Roman" w:hAnsi="Times New Roman"/>
          <w:sz w:val="30"/>
          <w:szCs w:val="30"/>
          <w:lang w:eastAsia="ru-RU"/>
        </w:rPr>
        <w:t xml:space="preserve">дата </w:t>
      </w:r>
      <w:r w:rsidRPr="003B411F">
        <w:rPr>
          <w:rFonts w:ascii="Times New Roman" w:eastAsia="Times New Roman" w:hAnsi="Times New Roman"/>
          <w:sz w:val="30"/>
          <w:szCs w:val="30"/>
          <w:lang w:eastAsia="ru-RU"/>
        </w:rPr>
        <w:t>протокола испытаний</w:t>
      </w:r>
      <w:r w:rsidRPr="00275136">
        <w:rPr>
          <w:rFonts w:ascii="Times New Roman" w:eastAsia="Times New Roman" w:hAnsi="Times New Roman"/>
          <w:sz w:val="30"/>
          <w:szCs w:val="30"/>
          <w:lang w:eastAsia="ru-RU"/>
        </w:rPr>
        <w:t xml:space="preserve"> о соответствии виртуального игорного заведения требованиям, определенным </w:t>
      </w:r>
      <w:hyperlink r:id="rId12" w:history="1">
        <w:r w:rsidRPr="00275136">
          <w:rPr>
            <w:rFonts w:ascii="Times New Roman" w:hAnsi="Times New Roman" w:cs="Times New Roman"/>
            <w:sz w:val="30"/>
            <w:szCs w:val="30"/>
            <w14:ligatures w14:val="standardContextual"/>
          </w:rPr>
          <w:t>Положением</w:t>
        </w:r>
      </w:hyperlink>
      <w:r w:rsidRPr="00275136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</w:t>
      </w:r>
      <w:r w:rsidRPr="003B411F">
        <w:rPr>
          <w:rFonts w:ascii="Times New Roman" w:hAnsi="Times New Roman" w:cs="Times New Roman"/>
          <w:sz w:val="30"/>
          <w:szCs w:val="30"/>
          <w14:ligatures w14:val="standardContextual"/>
        </w:rPr>
        <w:t>о требованиях к виртуальным игорным заведениям и порядке проведения испытаний виртуального игорного заведения на соответствие таким требованиям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, утвержденным постановлением Совета Министров Республики Беларусь от 24.12.2025 № 764</w:t>
      </w:r>
      <w:r w:rsidRPr="00275136">
        <w:rPr>
          <w:rFonts w:ascii="Times New Roman" w:hAnsi="Times New Roman" w:cs="Times New Roman"/>
          <w:sz w:val="30"/>
          <w:szCs w:val="30"/>
          <w14:ligatures w14:val="standardContextual"/>
        </w:rPr>
        <w:t>;</w:t>
      </w:r>
    </w:p>
    <w:p w14:paraId="5E5613AF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 наименование банка или небанковской кредитно-финансовой организации Республики Беларусь, где лицензиатом открыт специальный счет, дату открытия специального счета, номер специального счета,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сумму денежных средств, находящихся на специальном счете на дату представления в лицензирующий орган заявления об изменении лицензии, согласие на запрос лицензирующим органом сведений у соответствующего банка или небанковской кредитно-финансовой организации Республики Беларусь о движении денежных средств по специальному счету лицензиата;</w:t>
      </w:r>
    </w:p>
    <w:p w14:paraId="273E0308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 исключении места нахождения игорного заведения в отношении составляющей лицензируемый вид деятельности услуги содержание казино, зала игровых автоматов, тотализатора, букмекерской конторы:</w:t>
      </w:r>
    </w:p>
    <w:p w14:paraId="1107174F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– дата и номер приказа о прекращении осуществления лицензируемого вида деятельности в соответствующем игорном заведении (при отсутствии дополнительного соглашения о расторжении договора аренды (субаренды, безвозмездного пользования (ссуды) и (или) акта возврата помещения, в котором такое игорное заведение размещалось).</w:t>
      </w:r>
    </w:p>
    <w:p w14:paraId="5815FD87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1.2. Документ, подтверждающий уплату государственной пошлины.</w:t>
      </w:r>
    </w:p>
    <w:p w14:paraId="5EABF6FD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Справочно. За изменение лицензии взимается государственная пошлина </w:t>
      </w:r>
      <w:r>
        <w:rPr>
          <w:rFonts w:ascii="Times New Roman" w:hAnsi="Times New Roman" w:cs="Times New Roman"/>
          <w:i/>
          <w:iCs/>
          <w:sz w:val="30"/>
          <w:szCs w:val="30"/>
        </w:rPr>
        <w:t>в размере:</w:t>
      </w:r>
    </w:p>
    <w:p w14:paraId="062F24AD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r w:rsidRPr="00AE5263">
        <w:rPr>
          <w:rFonts w:ascii="Times New Roman" w:hAnsi="Times New Roman" w:cs="Times New Roman"/>
          <w:i/>
          <w:iCs/>
          <w:sz w:val="30"/>
          <w:szCs w:val="30"/>
        </w:rPr>
        <w:t>250 базовых величин - за изменение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Pr="00AE5263">
        <w:rPr>
          <w:rFonts w:ascii="Times New Roman" w:hAnsi="Times New Roman" w:cs="Times New Roman"/>
          <w:i/>
          <w:iCs/>
          <w:sz w:val="30"/>
          <w:szCs w:val="30"/>
        </w:rPr>
        <w:t>связанное с изменением составляющих ее услуг, места нахождения игорных заведений, доменных имен сайтов (за исключением случаев, предусмотренных пунктом 69 приложения 22 к Н</w:t>
      </w:r>
      <w:r>
        <w:rPr>
          <w:rFonts w:ascii="Times New Roman" w:hAnsi="Times New Roman" w:cs="Times New Roman"/>
          <w:i/>
          <w:iCs/>
          <w:sz w:val="30"/>
          <w:szCs w:val="30"/>
        </w:rPr>
        <w:t>К</w:t>
      </w:r>
      <w:r w:rsidRPr="00AE5263">
        <w:rPr>
          <w:rFonts w:ascii="Times New Roman" w:hAnsi="Times New Roman" w:cs="Times New Roman"/>
          <w:i/>
          <w:iCs/>
          <w:sz w:val="30"/>
          <w:szCs w:val="30"/>
        </w:rPr>
        <w:t>), в том числе при одновременном ином изменении</w:t>
      </w:r>
      <w:r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599EAF60" w14:textId="77777777" w:rsidR="00BE20D2" w:rsidRDefault="00BE20D2" w:rsidP="00BE2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  <w:lang w:eastAsia="ru-RU"/>
        </w:rPr>
      </w:pPr>
      <w:r w:rsidRPr="00AE5263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10 базовых величин - за изменение лицензии, не связанное с изменением составляющих ее услуг, места нахождения игорных заведений, доменных имен сайтов и (или) связанное с их исключением</w:t>
      </w:r>
      <w:r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(пункты 68 и 69 приложения 22 к НК).</w:t>
      </w:r>
    </w:p>
    <w:p w14:paraId="37BAEE5C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284637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Копии документов, подтверждающих наличие у руководителя или заместителя руководителя лицензиата трехлетнего стажа работы по лицензируемому виду деятельности в должности руководителя или заместителя руководителя юридического лица. Такими документами будут являться выписка из трудовой книжки либо копия трудовой книжки руководителя или заместителя руководителя лицензиата.</w:t>
      </w:r>
    </w:p>
    <w:p w14:paraId="19571C43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1.4. Сведения о руководителе, заместителе (заместителях) руководителя, физическом лице, являющемся учредителем (участником) лицензиата. Такие сведения предоставляются по форме, определенной в приложении к постановлению № 2,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отдельно в отношении руководителя, каждого из его заместителей, физического лица, являющегося учредителем (участником) лицензиата.</w:t>
      </w:r>
    </w:p>
    <w:p w14:paraId="3DE3EBD7" w14:textId="77777777" w:rsidR="00BE20D2" w:rsidRPr="006016DB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2. </w:t>
      </w:r>
      <w:r w:rsidRPr="006016DB">
        <w:rPr>
          <w:rFonts w:ascii="Times New Roman" w:hAnsi="Times New Roman" w:cs="Times New Roman"/>
          <w:sz w:val="30"/>
          <w:szCs w:val="30"/>
          <w14:ligatures w14:val="standardContextual"/>
        </w:rPr>
        <w:t>При изменении перечня обособленных подразделений, в том числе их наименования и (или) места нахождения, реорганизации лицензиата:</w:t>
      </w:r>
    </w:p>
    <w:p w14:paraId="6BDB651A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копии учредительных или иных организационно-распорядительных документов лицензиата (юридического лица, к которому перешла лицензия), определяющих статус обособленного подразделения этого юридического лица.</w:t>
      </w:r>
    </w:p>
    <w:p w14:paraId="5AC29A05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3. При переходе лицензии в связи с реорганизацией лицензиата</w:t>
      </w:r>
      <w:r w:rsidRPr="006016DB">
        <w:rPr>
          <w:rFonts w:ascii="Times New Roman" w:hAnsi="Times New Roman" w:cs="Times New Roman"/>
          <w:sz w:val="30"/>
          <w:szCs w:val="30"/>
          <w14:ligatures w14:val="standardContextual"/>
        </w:rPr>
        <w:t>:</w:t>
      </w:r>
    </w:p>
    <w:p w14:paraId="769B8A27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копия документа, подтверждающего переход лицензии в связи с реорганизацией лицензиата.</w:t>
      </w:r>
    </w:p>
    <w:p w14:paraId="4810004A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Таким документом будет являться передаточный акт, разделительный баланс, учредительные документы, а при слиянии, присоединении – иной документ или его копия, из которых очевидным образом следует факт реорганизации лицензиата и переход лицензии к иному юридическому лицу в результате такой реорганизации.</w:t>
      </w:r>
    </w:p>
    <w:p w14:paraId="28E7F61E" w14:textId="77777777" w:rsidR="00BE20D2" w:rsidRPr="00B46B40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B46B40">
        <w:rPr>
          <w:rFonts w:ascii="Times New Roman" w:hAnsi="Times New Roman" w:cs="Times New Roman"/>
          <w:sz w:val="30"/>
          <w:szCs w:val="30"/>
        </w:rPr>
        <w:t>. </w:t>
      </w: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При:</w:t>
      </w:r>
    </w:p>
    <w:p w14:paraId="65D9B191" w14:textId="77777777" w:rsidR="00BE20D2" w:rsidRPr="00B46B40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переходе лицензии с указанием составляющей лицензируемый вид деятельности услуги содержания казино (зала игровых автоматов, тотализатора, букмекерской конторы) в связи с реорганизацией лицензиата;</w:t>
      </w:r>
    </w:p>
    <w:p w14:paraId="6B7DEB41" w14:textId="77777777" w:rsidR="00BE20D2" w:rsidRPr="00B46B40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включении составляющей лицензируемый вид деятельности услуги содержания казино (зала игровых автоматов, тотализатора, букмекерской конторы);</w:t>
      </w:r>
    </w:p>
    <w:p w14:paraId="58B705D0" w14:textId="77777777" w:rsidR="00BE20D2" w:rsidRPr="00B46B40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изменении перечня или места нахождения игорных заведений (в том числе по каждому обособленному подразделению).</w:t>
      </w:r>
    </w:p>
    <w:p w14:paraId="0066D74E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4</w:t>
      </w: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.1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Копии д</w:t>
      </w: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окумент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ов</w:t>
      </w: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>, подтверждающи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х</w:t>
      </w:r>
      <w:r w:rsidRPr="00B46B40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наличие на праве собственности или ином законном основании помещения, в котором будет осуществляться лицензируемый вид деятельности (в зависимости от основания)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Такими документами будут являться договор аренды (субаренды), безвозмездного пользования (ссуды), акт приема-передачи помещения.</w:t>
      </w:r>
    </w:p>
    <w:p w14:paraId="045E7D8B" w14:textId="77777777" w:rsidR="00BE20D2" w:rsidRPr="00B46B40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4.2. </w:t>
      </w:r>
      <w:r w:rsidRPr="003B411F">
        <w:rPr>
          <w:rFonts w:ascii="Times New Roman" w:eastAsia="Times New Roman" w:hAnsi="Times New Roman"/>
          <w:sz w:val="30"/>
          <w:szCs w:val="30"/>
          <w:lang w:eastAsia="ru-RU"/>
        </w:rPr>
        <w:t>Согласие соответствующего местного исполнительного и распорядительного органа на размещение игорного заведения. Такое согласие должно содержать сведения о виде игорного заведения, адресе его места нахождения, а также соответствии помещения, в котором будет осуществляться лицензируемый вид деятельности, требованиям, предусмотренным в пунктах 6 и 7 Положения об осуществлении деятельности в сфере игорного бизнеса, утвержденного Указом Президента Республики Беларусь от 06.06.2025 № 226</w:t>
      </w:r>
      <w:r w:rsidRPr="00B46B40">
        <w:rPr>
          <w:rFonts w:ascii="Times New Roman" w:hAnsi="Times New Roman" w:cs="Times New Roman"/>
          <w:sz w:val="30"/>
          <w:szCs w:val="30"/>
        </w:rPr>
        <w:t>.</w:t>
      </w:r>
    </w:p>
    <w:p w14:paraId="3802E56F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B46B40">
        <w:rPr>
          <w:rFonts w:ascii="Times New Roman" w:hAnsi="Times New Roman" w:cs="Times New Roman"/>
          <w:sz w:val="30"/>
          <w:szCs w:val="30"/>
        </w:rPr>
        <w:t>.3. </w:t>
      </w:r>
      <w:bookmarkStart w:id="0" w:name="_Hlk137568817"/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Акт соответствующего территориального органа </w:t>
      </w:r>
      <w:r w:rsidRPr="00B46B40">
        <w:rPr>
          <w:rFonts w:ascii="Times New Roman" w:eastAsia="Times New Roman" w:hAnsi="Times New Roman"/>
          <w:spacing w:val="-10"/>
          <w:sz w:val="30"/>
          <w:szCs w:val="30"/>
          <w:lang w:eastAsia="ru-RU"/>
        </w:rPr>
        <w:t>внутренних дел об обследовании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помещения, в котором будет осуществляться 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лицензируемый вид деятельности</w:t>
      </w:r>
      <w:bookmarkEnd w:id="0"/>
      <w:r w:rsidRPr="00B46B40">
        <w:rPr>
          <w:rFonts w:ascii="Times New Roman" w:hAnsi="Times New Roman" w:cs="Times New Roman"/>
          <w:sz w:val="30"/>
          <w:szCs w:val="30"/>
        </w:rPr>
        <w:t xml:space="preserve">, свидетельствующий об отсутствии препятствий для предоставления лицензии, по </w:t>
      </w:r>
      <w:hyperlink r:id="rId13" w:history="1">
        <w:r w:rsidRPr="00B46B4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форме</w:t>
        </w:r>
      </w:hyperlink>
      <w:r w:rsidRPr="00B46B4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определенной приказом Министерства внутренних дел Республики Беларусь                                   от 12.12.2025 № 362 «Об обследовании помещений».</w:t>
      </w:r>
    </w:p>
    <w:p w14:paraId="6228B46A" w14:textId="77777777" w:rsidR="00BE20D2" w:rsidRPr="00B46B40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E9E3F71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Способы подачи соискателями лицензии, лицензиатами документов и сведений для предоставления, изменения лицензии</w:t>
      </w:r>
    </w:p>
    <w:p w14:paraId="27F4B256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16A5060" w14:textId="067890A8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F41D61">
        <w:rPr>
          <w:rFonts w:ascii="Times New Roman" w:hAnsi="Times New Roman" w:cs="Times New Roman"/>
          <w:sz w:val="30"/>
          <w:szCs w:val="30"/>
        </w:rPr>
        <w:t>В ходе приема заинтересованного лица.</w:t>
      </w:r>
    </w:p>
    <w:p w14:paraId="169A697D" w14:textId="77777777" w:rsidR="00BE20D2" w:rsidRDefault="00BE20D2" w:rsidP="00BE20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В соответствии с пунктом 10 Положения № 154 личное предоставление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заявления о предоставлении или об изменении лицензии и прилагаемых к нему документов осуществляется соискателем лицензии (лицензиатом) либо его уполномоченным представителем с 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одновременным предъявлением:</w:t>
      </w:r>
    </w:p>
    <w:p w14:paraId="3CCDA891" w14:textId="77777777" w:rsidR="00BE20D2" w:rsidRDefault="00000000" w:rsidP="00BE20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hyperlink r:id="rId14" w:history="1">
        <w:r w:rsidR="00BE20D2" w:rsidRPr="00193F2B">
          <w:rPr>
            <w:rFonts w:ascii="Times New Roman" w:hAnsi="Times New Roman" w:cs="Times New Roman"/>
            <w:sz w:val="30"/>
            <w:szCs w:val="30"/>
            <w14:ligatures w14:val="standardContextual"/>
          </w:rPr>
          <w:t>документа</w:t>
        </w:r>
      </w:hyperlink>
      <w:r w:rsidR="00BE20D2" w:rsidRPr="00193F2B">
        <w:rPr>
          <w:rFonts w:ascii="Times New Roman" w:hAnsi="Times New Roman" w:cs="Times New Roman"/>
          <w:sz w:val="30"/>
          <w:szCs w:val="30"/>
          <w14:ligatures w14:val="standardContextual"/>
        </w:rPr>
        <w:t>,</w:t>
      </w:r>
      <w:r w:rsidR="00BE20D2"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 удостоверяющего личность, и документа, подтверждающего полномочия руководителя (приказ о назначении на должность руководителя, или выписка из решения общего собрания, правления либо иного органа управления юридического лица, или трудовой договор (контракт), или гражданско-правовой договор), - руководителем юридического лица;</w:t>
      </w:r>
    </w:p>
    <w:p w14:paraId="38C89972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документа, удостоверяющего личность, и доверенности или иного документа, подтверждающего полномочия на совершение юридически значимых действий от имени соискателя лицензии (лицензиата), </w:t>
      </w:r>
      <w:r w:rsidRPr="00FF0107">
        <w:rPr>
          <w:rFonts w:ascii="Times New Roman" w:hAnsi="Times New Roman" w:cs="Times New Roman"/>
          <w:b/>
          <w:bCs/>
          <w:sz w:val="30"/>
          <w:szCs w:val="30"/>
          <w14:ligatures w14:val="standardContextual"/>
        </w:rPr>
        <w:t>включая полномочия на представление его интересов в отношениях, регулируемых законодательством о лицензировании</w:t>
      </w:r>
      <w:r>
        <w:rPr>
          <w:rFonts w:ascii="Times New Roman" w:hAnsi="Times New Roman" w:cs="Times New Roman"/>
          <w:sz w:val="30"/>
          <w:szCs w:val="30"/>
          <w14:ligatures w14:val="standardContextual"/>
        </w:rPr>
        <w:t>, - уполномоченным представителем соискателя лицензии (лицензиата).</w:t>
      </w:r>
    </w:p>
    <w:p w14:paraId="02B36AEE" w14:textId="21BF73F3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Посредством почтовой связи</w:t>
      </w:r>
      <w:r w:rsidR="00F41D61">
        <w:rPr>
          <w:rFonts w:ascii="Times New Roman" w:hAnsi="Times New Roman" w:cs="Times New Roman"/>
          <w:sz w:val="30"/>
          <w:szCs w:val="30"/>
        </w:rPr>
        <w:t>, нарочным (курьером)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819EF00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В</w:t>
      </w:r>
      <w:r w:rsidRPr="00D217DB">
        <w:rPr>
          <w:rFonts w:ascii="Times New Roman" w:hAnsi="Times New Roman" w:cs="Times New Roman"/>
          <w:sz w:val="30"/>
          <w:szCs w:val="30"/>
        </w:rPr>
        <w:t xml:space="preserve"> электронной форме через единый портал электронных услуг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F291DE" w14:textId="77777777" w:rsidR="00BE20D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14:ligatures w14:val="standardContextual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>При этом э</w:t>
      </w:r>
      <w:r w:rsidRPr="001E5194">
        <w:rPr>
          <w:rFonts w:ascii="Times New Roman" w:hAnsi="Times New Roman" w:cs="Times New Roman"/>
          <w:sz w:val="30"/>
          <w:szCs w:val="30"/>
          <w14:ligatures w14:val="standardContextual"/>
        </w:rPr>
        <w:t>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55D2CB56" w14:textId="77777777" w:rsidR="00BE20D2" w:rsidRPr="00A33C22" w:rsidRDefault="00BE20D2" w:rsidP="00BE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14:ligatures w14:val="standardContextual"/>
        </w:rPr>
        <w:t xml:space="preserve">Кроме того,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 случае направления пакета документов для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предоставления</w:t>
      </w:r>
      <w:r w:rsidRPr="00D109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или изменения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лицензии</w:t>
      </w:r>
      <w:r w:rsidRPr="00D10984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 электронной форме</w:t>
      </w:r>
      <w:r w:rsidRPr="001E5194">
        <w:t xml:space="preserve"> </w:t>
      </w:r>
      <w:r w:rsidRPr="001E5194">
        <w:rPr>
          <w:rFonts w:ascii="Times New Roman" w:eastAsia="Calibri" w:hAnsi="Times New Roman" w:cs="Times New Roman"/>
          <w:color w:val="000000"/>
          <w:sz w:val="30"/>
          <w:szCs w:val="30"/>
        </w:rPr>
        <w:t>через единый портал электронных услуг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в последующем потребуется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предоставлени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е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 МНС оригиналов таких документов как:</w:t>
      </w:r>
    </w:p>
    <w:p w14:paraId="12CF8C58" w14:textId="77777777" w:rsidR="00BE20D2" w:rsidRPr="00A33C22" w:rsidRDefault="00BE20D2" w:rsidP="00BE20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документа об уплате государственной пошлины;</w:t>
      </w:r>
    </w:p>
    <w:p w14:paraId="3F47C73D" w14:textId="77777777" w:rsidR="00BE20D2" w:rsidRPr="00A33C22" w:rsidRDefault="00BE20D2" w:rsidP="00BE20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>согласия соответствующего местного исполнительного и распорядительного органа на размещение игорного заведения;</w:t>
      </w:r>
    </w:p>
    <w:p w14:paraId="3FB33CA3" w14:textId="77777777" w:rsidR="00BE20D2" w:rsidRPr="00A33C22" w:rsidRDefault="00BE20D2" w:rsidP="00BE20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>кт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соответствующего территориального органа </w:t>
      </w:r>
      <w:r w:rsidRPr="00B46B40">
        <w:rPr>
          <w:rFonts w:ascii="Times New Roman" w:eastAsia="Times New Roman" w:hAnsi="Times New Roman"/>
          <w:spacing w:val="-10"/>
          <w:sz w:val="30"/>
          <w:szCs w:val="30"/>
          <w:lang w:eastAsia="ru-RU"/>
        </w:rPr>
        <w:t>внутренних дел об обследовании</w:t>
      </w:r>
      <w:r w:rsidRPr="00B46B40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помещения, в котором будет осуществляться лицензируемый вид деятельности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</w:t>
      </w:r>
    </w:p>
    <w:p w14:paraId="5A2A0C02" w14:textId="77777777" w:rsidR="00BE20D2" w:rsidRPr="00A33C22" w:rsidRDefault="00BE20D2" w:rsidP="00BE2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Учитывая изложенное, принимая во внимание срок, установленный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Законом Республики Беларусь от 14.10.2022 № 213-З                                                     «О лицензировании»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для рассмотрения лицензирующим органом представленных соискателем лицензии (лицензиатом) документов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(15 рабочих дней со дня их приема), оригиналы вышеуказанных документов должны предоставляться в МНС в течение 3 (трех) рабочих дней со дня направления пакета документов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в электронной форме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14:paraId="1A1B9DEB" w14:textId="77777777" w:rsidR="00BE20D2" w:rsidRPr="00A33C22" w:rsidRDefault="00BE20D2" w:rsidP="00BE2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Оригиналы рассматриваемых документов </w:t>
      </w: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могут:</w:t>
      </w:r>
    </w:p>
    <w:p w14:paraId="3085F725" w14:textId="77777777" w:rsidR="00BE20D2" w:rsidRPr="00A33C22" w:rsidRDefault="00BE20D2" w:rsidP="00BE2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передаваться нарочным в службу делопроизводства МНС;</w:t>
      </w:r>
    </w:p>
    <w:p w14:paraId="35A4E20D" w14:textId="136A7A8E" w:rsidR="00D10984" w:rsidRDefault="00BE20D2" w:rsidP="00BE2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33C22">
        <w:rPr>
          <w:rFonts w:ascii="Times New Roman" w:eastAsia="Calibri" w:hAnsi="Times New Roman" w:cs="Times New Roman"/>
          <w:color w:val="000000"/>
          <w:sz w:val="30"/>
          <w:szCs w:val="30"/>
        </w:rPr>
        <w:t>направляться по почте заказным письмом с уведомлением по адресу МНС: 220010 г. Минск, ул. Советская, 9.</w:t>
      </w:r>
    </w:p>
    <w:p w14:paraId="11A08EFC" w14:textId="77777777" w:rsidR="00EF436F" w:rsidRPr="00A33C22" w:rsidRDefault="00EF436F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D234005" w14:textId="0A3FD49C" w:rsidR="000547A7" w:rsidRDefault="00D61348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D61348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Дополнительно информируем, что на сайте МНС размещена информация </w:t>
      </w:r>
      <w:r w:rsidR="00DB4360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о</w:t>
      </w:r>
      <w:r w:rsidR="00EF436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б осуществлении административных процедур налоговых органов </w:t>
      </w:r>
      <w:r w:rsidR="008109E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через е</w:t>
      </w:r>
      <w:r w:rsidR="00EF436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дин</w:t>
      </w:r>
      <w:r w:rsidR="008109EF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ый </w:t>
      </w:r>
      <w:r w:rsidR="00DB4360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портал электронных услуг</w:t>
      </w:r>
      <w:r w:rsidRPr="00D61348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. Ознакомиться с информацией можно по </w:t>
      </w:r>
      <w:r w:rsidR="000547A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ссылкам</w:t>
      </w:r>
      <w:r w:rsidRPr="00D61348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:</w:t>
      </w:r>
    </w:p>
    <w:p w14:paraId="03F76190" w14:textId="459BC423" w:rsidR="000547A7" w:rsidRPr="00C67C67" w:rsidRDefault="00EF436F" w:rsidP="00C67C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EF436F">
        <w:rPr>
          <w:rFonts w:ascii="Times New Roman" w:eastAsia="Calibri" w:hAnsi="Times New Roman" w:cs="Times New Roman"/>
          <w:b/>
          <w:bCs/>
          <w:sz w:val="30"/>
          <w:szCs w:val="30"/>
        </w:rPr>
        <w:t>https://nalog.gov.by/news/31960/?sphrase_id=59800621</w:t>
      </w:r>
      <w:r w:rsidR="00C67C67" w:rsidRPr="00C67C67">
        <w:rPr>
          <w:rFonts w:ascii="Times New Roman" w:eastAsia="Calibri" w:hAnsi="Times New Roman" w:cs="Times New Roman"/>
          <w:b/>
          <w:bCs/>
          <w:sz w:val="30"/>
          <w:szCs w:val="30"/>
        </w:rPr>
        <w:t>;</w:t>
      </w:r>
    </w:p>
    <w:p w14:paraId="0EA58B5F" w14:textId="42449894" w:rsidR="00C67C67" w:rsidRDefault="00C67C67" w:rsidP="00C67C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C67C6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https://nalog.gov.by/news/32311/?sphrase_id=59800621</w:t>
      </w:r>
      <w:r w:rsidR="00CE1D11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.</w:t>
      </w:r>
    </w:p>
    <w:p w14:paraId="2A0721D1" w14:textId="77777777" w:rsidR="000547A7" w:rsidRDefault="000547A7" w:rsidP="00D10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</w:p>
    <w:p w14:paraId="0E40A312" w14:textId="77777777" w:rsidR="00CE1D8D" w:rsidRDefault="00CE1D8D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117D70" w14:textId="77777777" w:rsidR="00CE1D8D" w:rsidRDefault="00CE1D8D" w:rsidP="00284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E1D8D" w:rsidSect="000A5D6C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0B5D" w14:textId="77777777" w:rsidR="00863484" w:rsidRDefault="00863484" w:rsidP="000A5D6C">
      <w:pPr>
        <w:spacing w:after="0" w:line="240" w:lineRule="auto"/>
      </w:pPr>
      <w:r>
        <w:separator/>
      </w:r>
    </w:p>
  </w:endnote>
  <w:endnote w:type="continuationSeparator" w:id="0">
    <w:p w14:paraId="5962B93A" w14:textId="77777777" w:rsidR="00863484" w:rsidRDefault="00863484" w:rsidP="000A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C640" w14:textId="77777777" w:rsidR="00863484" w:rsidRDefault="00863484" w:rsidP="000A5D6C">
      <w:pPr>
        <w:spacing w:after="0" w:line="240" w:lineRule="auto"/>
      </w:pPr>
      <w:r>
        <w:separator/>
      </w:r>
    </w:p>
  </w:footnote>
  <w:footnote w:type="continuationSeparator" w:id="0">
    <w:p w14:paraId="2B6B7646" w14:textId="77777777" w:rsidR="00863484" w:rsidRDefault="00863484" w:rsidP="000A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897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1B314EE" w14:textId="628616C6" w:rsidR="000A5D6C" w:rsidRPr="000A5D6C" w:rsidRDefault="000A5D6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5D6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5D6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A5D6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198B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0A5D6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8F53AF9" w14:textId="77777777" w:rsidR="000A5D6C" w:rsidRDefault="000A5D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1227A"/>
    <w:multiLevelType w:val="hybridMultilevel"/>
    <w:tmpl w:val="C9DA5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478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637"/>
    <w:rsid w:val="00011C99"/>
    <w:rsid w:val="00034384"/>
    <w:rsid w:val="000547A7"/>
    <w:rsid w:val="000A5D6C"/>
    <w:rsid w:val="000D4BD8"/>
    <w:rsid w:val="001112D9"/>
    <w:rsid w:val="001417D4"/>
    <w:rsid w:val="00193F2B"/>
    <w:rsid w:val="001A0F85"/>
    <w:rsid w:val="001E5194"/>
    <w:rsid w:val="002147A3"/>
    <w:rsid w:val="00217A9E"/>
    <w:rsid w:val="0022198B"/>
    <w:rsid w:val="00225575"/>
    <w:rsid w:val="002719B2"/>
    <w:rsid w:val="00275136"/>
    <w:rsid w:val="00284637"/>
    <w:rsid w:val="00315E59"/>
    <w:rsid w:val="003C03AF"/>
    <w:rsid w:val="004079D3"/>
    <w:rsid w:val="0042047F"/>
    <w:rsid w:val="00475F6C"/>
    <w:rsid w:val="0049016F"/>
    <w:rsid w:val="0049507A"/>
    <w:rsid w:val="004953AC"/>
    <w:rsid w:val="005A6582"/>
    <w:rsid w:val="005C18F5"/>
    <w:rsid w:val="005C201B"/>
    <w:rsid w:val="006016DB"/>
    <w:rsid w:val="00634540"/>
    <w:rsid w:val="00685E19"/>
    <w:rsid w:val="006B7796"/>
    <w:rsid w:val="0072770E"/>
    <w:rsid w:val="007D5F96"/>
    <w:rsid w:val="008109EF"/>
    <w:rsid w:val="00830406"/>
    <w:rsid w:val="00863484"/>
    <w:rsid w:val="00872A6B"/>
    <w:rsid w:val="008B3507"/>
    <w:rsid w:val="008C315E"/>
    <w:rsid w:val="00947C3E"/>
    <w:rsid w:val="009F21E5"/>
    <w:rsid w:val="00A33C22"/>
    <w:rsid w:val="00A91768"/>
    <w:rsid w:val="00AE5263"/>
    <w:rsid w:val="00B46B40"/>
    <w:rsid w:val="00BA59E2"/>
    <w:rsid w:val="00BE20D2"/>
    <w:rsid w:val="00C37CBB"/>
    <w:rsid w:val="00C44922"/>
    <w:rsid w:val="00C67C67"/>
    <w:rsid w:val="00C70209"/>
    <w:rsid w:val="00C77392"/>
    <w:rsid w:val="00CA5DA1"/>
    <w:rsid w:val="00CB74F3"/>
    <w:rsid w:val="00CE1D11"/>
    <w:rsid w:val="00CE1D8D"/>
    <w:rsid w:val="00D065AC"/>
    <w:rsid w:val="00D10984"/>
    <w:rsid w:val="00D217DB"/>
    <w:rsid w:val="00D3486B"/>
    <w:rsid w:val="00D5125D"/>
    <w:rsid w:val="00D61348"/>
    <w:rsid w:val="00DB4360"/>
    <w:rsid w:val="00DD038A"/>
    <w:rsid w:val="00DD291C"/>
    <w:rsid w:val="00E510A2"/>
    <w:rsid w:val="00EF436F"/>
    <w:rsid w:val="00F279C2"/>
    <w:rsid w:val="00F41D61"/>
    <w:rsid w:val="00F97D35"/>
    <w:rsid w:val="00FD4987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66AD0"/>
  <w15:chartTrackingRefBased/>
  <w15:docId w15:val="{9072FF51-D00B-4359-9DDE-073DE40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3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D6C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0A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D6C"/>
    <w:rPr>
      <w:kern w:val="0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74F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6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CFE5E32EBA8FE10B2ECE3C2D1E1DF04FAFCB7F97899FF145E87387A20EB73EF96F3939103D485975EC7D7C104FBB49D07A68DAEB703FDAB3599CB08246y1L" TargetMode="External"/><Relationship Id="rId13" Type="http://schemas.openxmlformats.org/officeDocument/2006/relationships/hyperlink" Target="consultantplus://offline/ref=5FBE3F53AEADD8EA4DA6228C1CB3B8296B882F98B399C2FBA7E36AE1C00078743B6A2C0247F89AC20B596174BF98B7D75DC9F48E2E202ECA231EBD22F6I9G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CDEB3FC2155F4E396744FE734A51F630ED7B68A976A5D0A7DBD5DF1DD7B7ABC538C4D47C488363FFF9184D6DCB20039D88DFBDACB03FF951103A7082YB61I" TargetMode="External"/><Relationship Id="rId12" Type="http://schemas.openxmlformats.org/officeDocument/2006/relationships/hyperlink" Target="consultantplus://offline/ref=DA8941D6386B5CED66901702A05159E79DC4ECAD8B26454FC0C5DAEDC2F76B1FBD82CF9E1371E6368453553D5E2DEEC16C57AF0D40B89B2969048103F128Y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BE3F53AEADD8EA4DA6228C1CB3B8296B882F98B399C2FBA7E36AE1C00078743B6A2C0247F89AC20B596174BF98B7D75DC9F48E2E202ECA231EBD22F6I9G6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37E90BE8C4E3315CEC71692D08D0B429A33DF3A93D0A00F00F58236FB75738443640768DB51EEF115062FA1869B40FE7978AC5A5CCE1018DC349D5CA1gCE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7E90BE8C4E3315CEC71692D08D0B429A33DF3A93D0A00F00F58236FB75738443640768DB51EEF115062FA1859D40FE7978AC5A5CCE1018DC349D5CA1gCE0M" TargetMode="External"/><Relationship Id="rId14" Type="http://schemas.openxmlformats.org/officeDocument/2006/relationships/hyperlink" Target="consultantplus://offline/ref=F9E9A1E18AEE99C7F9A1DE649679141B28E2469E72734ABEC0B34D0D605021C4798D6F5A68A4204E79D93652F60877C3F33B193D7221501D0B9DC7B128U7N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2410</Words>
  <Characters>13741</Characters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2025-10-21T11:32:00Z</cp:lastPrinted>
  <dcterms:created xsi:type="dcterms:W3CDTF">2026-03-19T09:37:00Z</dcterms:created>
  <dcterms:modified xsi:type="dcterms:W3CDTF">2026-03-19T10:02:00Z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